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eastAsia="Arial"/>
          <w:b/>
          <w:color w:val="4C1D95"/>
          <w:sz w:val="33"/>
          <w:rtl/>
          <w:szCs w:val="33"/>
          <w:bCs/>
        </w:rPr>
        <w:t>🧵 דף תרגול: בונה הסקירה הממזגת</w:t>
      </w:r>
    </w:p>
    <w:p>
      <w:pPr>
        <w:bidi/>
        <w:spacing w:after="40"/>
        <w:jc w:val="right"/>
      </w:pPr>
      <w:r>
        <w:rPr>
          <w:rFonts w:ascii="Arial" w:hAnsi="Arial" w:cs="Arial" w:eastAsia="Arial"/>
          <w:b/>
          <w:color w:val="6D28D9"/>
          <w:sz w:val="23"/>
          <w:rtl/>
          <w:szCs w:val="23"/>
          <w:bCs/>
        </w:rPr>
        <w:t>מסלול רגיל · חט״ב</w:t>
      </w:r>
    </w:p>
    <w:p>
      <w:pPr>
        <w:bidi/>
        <w:pStyle w:val="Heading1"/>
        <w:spacing w:after="60" w:before="180"/>
        <w:jc w:val="right"/>
      </w:pPr>
      <w:r>
        <w:rPr>
          <w:rFonts w:ascii="Arial" w:hAnsi="Arial" w:cs="Arial" w:eastAsia="Arial"/>
          <w:b/>
          <w:color w:val="0F172A"/>
          <w:sz w:val="27"/>
          <w:rtl/>
          <w:szCs w:val="27"/>
          <w:bCs/>
        </w:rPr>
        <w:t>מהדורה למורה – מפתח תשובות</w:t>
      </w:r>
    </w:p>
    <w:p>
      <w:pPr>
        <w:bidi/>
        <w:spacing w:after="40"/>
        <w:jc w:val="right"/>
      </w:pPr>
      <w:r>
        <w:rPr>
          <w:rFonts w:ascii="Arial" w:hAnsi="Arial" w:cs="Arial" w:eastAsia="Arial"/>
          <w:sz w:val="20"/>
          <w:rtl/>
          <w:szCs w:val="20"/>
        </w:rPr>
        <w:t>הדף מתרגל את המיומנות של המשחק באתר: מיזוג מקורות, כתיבה מבוססת טקסט. נושאים: 🌾 חג הסיגד. זמן משוער: 15–25 דק׳. מסלול רגיל.</w:t>
      </w:r>
    </w:p>
    <w:p>
      <w:pPr>
        <w:bidi/>
        <w:spacing w:after="20"/>
        <w:jc w:val="right"/>
      </w:pPr>
      <w:r>
        <w:rPr>
          <w:rFonts w:ascii="Arial" w:hAnsi="Arial" w:cs="Arial" w:eastAsia="Arial"/>
          <w:b/>
          <w:color w:val="4C1D95"/>
          <w:sz w:val="22"/>
          <w:rtl/>
          <w:szCs w:val="22"/>
          <w:bCs/>
        </w:rPr>
        <w:t>חלק א׳ – קוראים שני טקסטים</w:t>
      </w:r>
    </w:p>
    <w:p>
      <w:pPr>
        <w:bidi/>
        <w:spacing w:after="20"/>
        <w:jc w:val="right"/>
      </w:pPr>
      <w:r>
        <w:rPr>
          <w:rFonts w:ascii="Arial" w:hAnsi="Arial" w:cs="Arial" w:eastAsia="Arial"/>
          <w:sz w:val="20"/>
          <w:rtl/>
          <w:szCs w:val="20"/>
        </w:rPr>
        <w:t>1. טקסט 1, קריטריון א (המקום והמרחב)</w:t>
      </w:r>
    </w:p>
    <w:p>
      <w:pPr>
        <w:bidi/>
        <w:spacing w:after="20"/>
        <w:jc w:val="right"/>
      </w:pPr>
      <w:r>
        <w:rPr>
          <w:rFonts w:ascii="Arial" w:hAnsi="Arial" w:cs="Arial" w:eastAsia="Arial"/>
          <w:sz w:val="20"/>
          <w:rtl/>
          <w:szCs w:val="20"/>
        </w:rPr>
        <w:t>2. טקסט 2, קריטריון א (המקום והמרחב)</w:t>
      </w:r>
    </w:p>
    <w:p>
      <w:pPr>
        <w:bidi/>
        <w:spacing w:after="20"/>
        <w:jc w:val="right"/>
      </w:pPr>
      <w:r>
        <w:rPr>
          <w:rFonts w:ascii="Arial" w:hAnsi="Arial" w:cs="Arial" w:eastAsia="Arial"/>
          <w:sz w:val="20"/>
          <w:rtl/>
          <w:szCs w:val="20"/>
        </w:rPr>
        <w:t>3. טקסט 1, קריטריון ב (היחס לירושלים)</w:t>
      </w:r>
    </w:p>
    <w:p>
      <w:pPr>
        <w:bidi/>
        <w:spacing w:after="20"/>
        <w:jc w:val="right"/>
      </w:pPr>
      <w:r>
        <w:rPr>
          <w:rFonts w:ascii="Arial" w:hAnsi="Arial" w:cs="Arial" w:eastAsia="Arial"/>
          <w:sz w:val="20"/>
          <w:rtl/>
          <w:szCs w:val="20"/>
        </w:rPr>
        <w:t>4. טקסט 2, קריטריון ב (היחס לירושלים)</w:t>
      </w:r>
    </w:p>
    <w:p>
      <w:pPr>
        <w:bidi/>
        <w:spacing w:after="20"/>
        <w:jc w:val="right"/>
      </w:pPr>
      <w:r>
        <w:rPr>
          <w:rFonts w:ascii="Arial" w:hAnsi="Arial" w:cs="Arial" w:eastAsia="Arial"/>
          <w:sz w:val="20"/>
          <w:rtl/>
          <w:szCs w:val="20"/>
        </w:rPr>
        <w:t>5. טקסט 2, קריטריון א (המקום והמרחב)</w:t>
      </w:r>
    </w:p>
    <w:p>
      <w:pPr>
        <w:bidi/>
        <w:spacing w:after="20"/>
        <w:jc w:val="right"/>
      </w:pPr>
      <w:r>
        <w:rPr>
          <w:rFonts w:ascii="Arial" w:hAnsi="Arial" w:cs="Arial" w:eastAsia="Arial"/>
          <w:b/>
          <w:color w:val="4C1D95"/>
          <w:sz w:val="22"/>
          <w:rtl/>
          <w:szCs w:val="22"/>
          <w:bCs/>
        </w:rPr>
        <w:t>חלק ב׳ – כותבים סקירה ממזגת</w:t>
      </w:r>
    </w:p>
    <w:p>
      <w:pPr>
        <w:bidi/>
        <w:spacing w:after="20"/>
        <w:jc w:val="right"/>
      </w:pPr>
      <w:r>
        <w:rPr>
          <w:rFonts w:ascii="Arial" w:hAnsi="Arial" w:cs="Arial" w:eastAsia="Arial"/>
          <w:sz w:val="20"/>
          <w:rtl/>
          <w:szCs w:val="20"/>
        </w:rPr>
        <w:t>מחוון: פתיח כללי, השוואה לפי קריטריון א׳ וב׳, מילות ניגוד/דמיון, סיכום.</w:t>
      </w:r>
    </w:p>
    <w:p>
      <w:pPr>
        <w:bidi/>
        <w:spacing w:after="20"/>
        <w:jc w:val="right"/>
      </w:pPr>
      <w:r>
        <w:rPr>
          <w:rFonts w:ascii="Arial" w:hAnsi="Arial" w:cs="Arial" w:eastAsia="Arial"/>
          <w:b/>
          <w:color w:val="4C1D95"/>
          <w:sz w:val="22"/>
          <w:rtl/>
          <w:szCs w:val="22"/>
          <w:bCs/>
        </w:rPr>
        <w:t>חלק ג׳ – מה למדתי מהמיזוג?</w:t>
      </w:r>
    </w:p>
    <w:p>
      <w:pPr>
        <w:bidi/>
        <w:spacing w:after="20"/>
        <w:jc w:val="right"/>
      </w:pPr>
      <w:r>
        <w:rPr>
          <w:rFonts w:ascii="Arial" w:hAnsi="Arial" w:cs="Arial" w:eastAsia="Arial"/>
          <w:sz w:val="20"/>
          <w:rtl/>
          <w:szCs w:val="20"/>
        </w:rPr>
        <w:t>תובנה על ערך המיזוג.</w:t>
      </w:r>
    </w:p>
    <w:p>
      <w:pPr>
        <w:bidi/>
        <w:spacing w:after="20"/>
        <w:jc w:val="right"/>
      </w:pPr>
      <w:r>
        <w:rPr>
          <w:rFonts w:ascii="Arial" w:hAnsi="Arial" w:cs="Arial" w:eastAsia="Arial"/>
          <w:b/>
          <w:color w:val="4C1D95"/>
          <w:sz w:val="22"/>
          <w:rtl/>
          <w:szCs w:val="22"/>
          <w:bCs/>
        </w:rPr>
        <w:t>כרטיס יציאה</w:t>
      </w:r>
    </w:p>
    <w:p>
      <w:pPr>
        <w:bidi/>
        <w:spacing w:after="40"/>
        <w:jc w:val="right"/>
      </w:pPr>
      <w:r>
        <w:rPr>
          <w:rFonts w:ascii="Arial" w:hAnsi="Arial" w:cs="Arial" w:eastAsia="Arial"/>
          <w:sz w:val="20"/>
          <w:rtl/>
          <w:szCs w:val="20"/>
        </w:rPr>
        <w:t>תשובות אישיות – לאיסוף מהיר בסוף השיעור.</w:t>
      </w:r>
    </w:p>
    <w:p>
      <w:r>
        <w:br w:type="page"/>
      </w:r>
    </w:p>
    <w:p>
      <w:pPr>
        <w:bidi/>
        <w:spacing w:after="40"/>
        <w:jc w:val="right"/>
      </w:pPr>
      <w:r>
        <w:rPr>
          <w:rFonts w:ascii="Arial" w:hAnsi="Arial" w:cs="Arial" w:eastAsia="Arial"/>
          <w:b/>
          <w:color w:val="4C1D95"/>
          <w:sz w:val="31"/>
          <w:rtl/>
          <w:szCs w:val="31"/>
          <w:bCs/>
        </w:rPr>
        <w:t>🧵 בונה הסקירה הממזגת – דף תרגול</w:t>
      </w:r>
    </w:p>
    <w:p>
      <w:pPr>
        <w:bidi/>
        <w:spacing w:after="40"/>
        <w:jc w:val="right"/>
      </w:pPr>
      <w:r>
        <w:rPr>
          <w:rFonts w:ascii="Arial" w:hAnsi="Arial" w:cs="Arial" w:eastAsia="Arial"/>
          <w:b/>
          <w:color w:val="6D28D9"/>
          <w:sz w:val="23"/>
          <w:rtl/>
          <w:szCs w:val="23"/>
          <w:bCs/>
        </w:rPr>
        <w:t>מסלול: רגיל</w:t>
      </w:r>
    </w:p>
    <w:tbl>
      <w:tblPr>
        <w:tblStyle w:val="TableGrid"/>
        <w:tblW w:type="auto" w:w="0"/>
        <w:tblLook w:firstColumn="1" w:firstRow="1" w:lastColumn="0" w:lastRow="0" w:noHBand="0" w:noVBand="1" w:val="04A0"/>
        <w:bidiVisual/>
      </w:tblPr>
      <w:tblGrid>
        <w:gridCol w:w="3475"/>
        <w:gridCol w:w="3475"/>
        <w:gridCol w:w="3475"/>
      </w:tblGrid>
      <w:tr>
        <w:tc>
          <w:tcPr>
            <w:tcW w:type="dxa" w:w="3475"/>
          </w:tcPr>
          <w:p>
            <w:pPr>
              <w:bidi/>
              <w:jc w:val="right"/>
            </w:pPr>
            <w:r>
              <w:rPr>
                <w:rFonts w:ascii="Arial" w:hAnsi="Arial" w:cs="Arial" w:eastAsia="Arial"/>
                <w:sz w:val="21"/>
                <w:rtl/>
                <w:szCs w:val="21"/>
              </w:rPr>
              <w:t>שם: ________________</w:t>
            </w:r>
          </w:p>
        </w:tc>
        <w:tc>
          <w:tcPr>
            <w:tcW w:type="dxa" w:w="3475"/>
          </w:tcPr>
          <w:p>
            <w:pPr>
              <w:bidi/>
              <w:jc w:val="right"/>
            </w:pPr>
            <w:r>
              <w:rPr>
                <w:rFonts w:ascii="Arial" w:hAnsi="Arial" w:cs="Arial" w:eastAsia="Arial"/>
                <w:sz w:val="21"/>
                <w:rtl/>
                <w:szCs w:val="21"/>
              </w:rPr>
              <w:t>כיתה: ______</w:t>
            </w:r>
          </w:p>
        </w:tc>
        <w:tc>
          <w:tcPr>
            <w:tcW w:type="dxa" w:w="3475"/>
          </w:tcPr>
          <w:p>
            <w:pPr>
              <w:bidi/>
              <w:jc w:val="right"/>
            </w:pPr>
            <w:r>
              <w:rPr>
                <w:rFonts w:ascii="Arial" w:hAnsi="Arial" w:cs="Arial" w:eastAsia="Arial"/>
                <w:sz w:val="21"/>
                <w:rtl/>
                <w:szCs w:val="21"/>
              </w:rPr>
              <w:t>תאריך: __________</w:t>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א׳ – קוראים שני טקסטים</w:t>
      </w:r>
    </w:p>
    <w:p>
      <w:pPr>
        <w:bidi/>
        <w:spacing w:after="40"/>
        <w:jc w:val="right"/>
      </w:pPr>
      <w:r>
        <w:rPr>
          <w:rFonts w:ascii="Arial" w:hAnsi="Arial" w:cs="Arial" w:eastAsia="Arial"/>
          <w:b/>
          <w:sz w:val="23"/>
          <w:rtl/>
          <w:szCs w:val="23"/>
          <w:bCs/>
        </w:rPr>
        <w:t>✏️ קראו את שני הטקסטים. לכל משפט בטבלה כתבו מאיזה טקסט הוא (1 או 2) ולאיזה קריטריון הוא שייך (א/ב).</w:t>
      </w:r>
    </w:p>
    <w:tbl>
      <w:tblPr>
        <w:tblStyle w:val="TableGrid"/>
        <w:tblW w:type="auto" w:w="0"/>
        <w:tblLook w:firstColumn="1" w:firstRow="1" w:lastColumn="0" w:lastRow="0" w:noHBand="0" w:noVBand="1" w:val="04A0"/>
        <w:bidiVisual/>
      </w:tblPr>
      <w:tblGrid>
        <w:gridCol w:w="10426"/>
      </w:tblGrid>
      <w:tr>
        <w:tc>
          <w:tcPr>
            <w:tcW w:type="dxa" w:w="10426"/>
            <w:shd w:val="clear" w:color="auto" w:fill="FEF9C3"/>
          </w:tcPr>
          <w:p>
            <w:pPr>
              <w:bidi/>
              <w:jc w:val="right"/>
            </w:pPr>
            <w:r>
              <w:rPr>
                <w:rFonts w:ascii="Arial" w:hAnsi="Arial" w:cs="Arial" w:eastAsia="Arial"/>
                <w:b/>
                <w:sz w:val="23"/>
                <w:rtl/>
                <w:szCs w:val="23"/>
                <w:bCs/>
              </w:rPr>
              <w:t>📄 טקסט 1: הסיגד באתיופיה</w:t>
            </w:r>
          </w:p>
          <w:p>
            <w:pPr>
              <w:bidi/>
              <w:jc w:val="right"/>
            </w:pPr>
            <w:r>
              <w:rPr>
                <w:rFonts w:ascii="Arial" w:hAnsi="Arial" w:cs="Arial" w:eastAsia="Arial"/>
                <w:sz w:val="23"/>
                <w:rtl/>
                <w:szCs w:val="23"/>
              </w:rPr>
              <w:t>בכפרי אתיופיה התכנסה הקהילה בכ״ט בחשון על הר גבוה מחוץ לכפר. המבוגרים צמו מן הבוקר ולבשו בגדים לבנים. הקסים נשאו את האורית, קראו ממנה בגעז ותרגמו לאמהרית. הקהילה פנתה לכיוון ירושלים ובכתה על המרחק ממנה. בירידה מן ההר שבו הצום, והחגיגה נמשכה עד הלילה.</w:t>
            </w:r>
          </w:p>
        </w:tc>
      </w:tr>
    </w:tbl>
    <w:p>
      <w:pPr>
        <w:bidi/>
        <w:spacing w:after="20"/>
        <w:jc w:val="right"/>
      </w:pPr>
    </w:p>
    <w:tbl>
      <w:tblPr>
        <w:tblStyle w:val="TableGrid"/>
        <w:tblW w:type="auto" w:w="0"/>
        <w:tblLook w:firstColumn="1" w:firstRow="1" w:lastColumn="0" w:lastRow="0" w:noHBand="0" w:noVBand="1" w:val="04A0"/>
        <w:bidiVisual/>
      </w:tblPr>
      <w:tblGrid>
        <w:gridCol w:w="10426"/>
      </w:tblGrid>
      <w:tr>
        <w:tc>
          <w:tcPr>
            <w:tcW w:type="dxa" w:w="10426"/>
            <w:shd w:val="clear" w:color="auto" w:fill="E0F2FE"/>
          </w:tcPr>
          <w:p>
            <w:pPr>
              <w:bidi/>
              <w:jc w:val="right"/>
            </w:pPr>
            <w:r>
              <w:rPr>
                <w:rFonts w:ascii="Arial" w:hAnsi="Arial" w:cs="Arial" w:eastAsia="Arial"/>
                <w:b/>
                <w:sz w:val="23"/>
                <w:rtl/>
                <w:szCs w:val="23"/>
                <w:bCs/>
              </w:rPr>
              <w:t>📄 טקסט 2: הסיגד בירושלים כיום</w:t>
            </w:r>
          </w:p>
          <w:p>
            <w:pPr>
              <w:bidi/>
              <w:jc w:val="right"/>
            </w:pPr>
            <w:r>
              <w:rPr>
                <w:rFonts w:ascii="Arial" w:hAnsi="Arial" w:cs="Arial" w:eastAsia="Arial"/>
                <w:sz w:val="23"/>
                <w:rtl/>
                <w:szCs w:val="23"/>
              </w:rPr>
              <w:t>מאז העלייה לישראל עבר מרכז החג לירושלים. אלפי חוגגים מתכנסים בטיילת גבוהה המשקיפה על העיר העתיקה. הקסים מברכים תחת מטריות צבעוניות, וחלק מהקהל צם עד הצהריים. לצד התפילה יש מפגשים, שירה וריקודים של בני כל הגילים. הגעגוע הישן לירושלים הפך לשמחה של חזרה הביתה ולהודיה.</w:t>
            </w:r>
          </w:p>
        </w:tc>
      </w:tr>
    </w:tbl>
    <w:p>
      <w:pPr>
        <w:bidi/>
        <w:spacing w:after="20"/>
        <w:jc w:val="right"/>
      </w:pPr>
    </w:p>
    <w:p>
      <w:pPr>
        <w:bidi/>
        <w:spacing w:after="40"/>
        <w:jc w:val="right"/>
      </w:pPr>
      <w:r>
        <w:rPr>
          <w:rFonts w:ascii="Arial" w:hAnsi="Arial" w:cs="Arial" w:eastAsia="Arial"/>
          <w:sz w:val="23"/>
          <w:rtl/>
          <w:szCs w:val="23"/>
        </w:rPr>
        <w:t>קריטריונים להשוואה:  (א) המקום והמרחב   (ב) היחס לירושלים</w:t>
      </w:r>
    </w:p>
    <w:tbl>
      <w:tblPr>
        <w:tblStyle w:val="TableGrid"/>
        <w:tblW w:type="auto" w:w="0"/>
        <w:tblLook w:firstColumn="1" w:firstRow="1" w:lastColumn="0" w:lastRow="0" w:noHBand="0" w:noVBand="1" w:val="04A0"/>
        <w:bidiVisual/>
      </w:tblPr>
      <w:tblGrid>
        <w:gridCol w:w="3475"/>
        <w:gridCol w:w="3475"/>
        <w:gridCol w:w="3475"/>
      </w:tblGrid>
      <w:tr>
        <w:tc>
          <w:tcPr>
            <w:tcW w:type="dxa" w:w="6660"/>
            <w:shd w:val="clear" w:color="auto" w:fill="EDE9FE"/>
          </w:tcPr>
          <w:p>
            <w:pPr>
              <w:bidi/>
              <w:jc w:val="right"/>
            </w:pPr>
            <w:r>
              <w:rPr>
                <w:rFonts w:ascii="Arial" w:hAnsi="Arial" w:cs="Arial" w:eastAsia="Arial"/>
                <w:b/>
                <w:sz w:val="21"/>
                <w:rtl/>
                <w:szCs w:val="21"/>
                <w:bCs/>
              </w:rPr>
              <w:t>המשפט</w:t>
            </w:r>
          </w:p>
        </w:tc>
        <w:tc>
          <w:tcPr>
            <w:tcW w:type="dxa" w:w="1716"/>
            <w:shd w:val="clear" w:color="auto" w:fill="EDE9FE"/>
          </w:tcPr>
          <w:p>
            <w:pPr>
              <w:bidi/>
              <w:jc w:val="right"/>
            </w:pPr>
            <w:r>
              <w:rPr>
                <w:rFonts w:ascii="Arial" w:hAnsi="Arial" w:cs="Arial" w:eastAsia="Arial"/>
                <w:b/>
                <w:sz w:val="21"/>
                <w:rtl/>
                <w:szCs w:val="21"/>
                <w:bCs/>
              </w:rPr>
              <w:t>טקסט (1/2)</w:t>
            </w:r>
          </w:p>
        </w:tc>
        <w:tc>
          <w:tcPr>
            <w:tcW w:type="dxa" w:w="1716"/>
            <w:shd w:val="clear" w:color="auto" w:fill="EDE9FE"/>
          </w:tcPr>
          <w:p>
            <w:pPr>
              <w:bidi/>
              <w:jc w:val="right"/>
            </w:pPr>
            <w:r>
              <w:rPr>
                <w:rFonts w:ascii="Arial" w:hAnsi="Arial" w:cs="Arial" w:eastAsia="Arial"/>
                <w:b/>
                <w:sz w:val="21"/>
                <w:rtl/>
                <w:szCs w:val="21"/>
                <w:bCs/>
              </w:rPr>
              <w:t>קריטריון (א/ב)</w:t>
            </w:r>
          </w:p>
        </w:tc>
      </w:tr>
      <w:tr>
        <w:tc>
          <w:tcPr>
            <w:tcW w:type="dxa" w:w="6660"/>
          </w:tcPr>
          <w:p>
            <w:pPr>
              <w:bidi/>
              <w:jc w:val="right"/>
            </w:pPr>
            <w:r>
              <w:rPr>
                <w:rFonts w:ascii="Arial" w:hAnsi="Arial" w:cs="Arial" w:eastAsia="Arial"/>
                <w:sz w:val="21"/>
                <w:rtl/>
                <w:szCs w:val="21"/>
              </w:rPr>
              <w:t>1. בכפרי אתיופיה התכנסה הקהילה בכ״ט בחשון על הר גבוה מחוץ לכפר.</w:t>
            </w:r>
          </w:p>
        </w:tc>
        <w:tc>
          <w:tcPr>
            <w:tcW w:type="dxa" w:w="1716"/>
          </w:tcPr>
          <w:p>
            <w:pPr>
              <w:bidi/>
              <w:jc w:val="right"/>
            </w:pPr>
            <w:r>
              <w:rPr>
                <w:rFonts w:ascii="Arial" w:hAnsi="Arial" w:cs="Arial" w:eastAsia="Arial"/>
                <w:sz w:val="21"/>
                <w:rtl/>
                <w:szCs w:val="21"/>
              </w:rPr>
            </w:r>
          </w:p>
        </w:tc>
        <w:tc>
          <w:tcPr>
            <w:tcW w:type="dxa" w:w="1716"/>
          </w:tcPr>
          <w:p>
            <w:pPr>
              <w:bidi/>
              <w:jc w:val="right"/>
            </w:pPr>
            <w:r>
              <w:rPr>
                <w:rFonts w:ascii="Arial" w:hAnsi="Arial" w:cs="Arial" w:eastAsia="Arial"/>
                <w:sz w:val="21"/>
                <w:rtl/>
                <w:szCs w:val="21"/>
              </w:rPr>
            </w:r>
          </w:p>
        </w:tc>
      </w:tr>
      <w:tr>
        <w:tc>
          <w:tcPr>
            <w:tcW w:type="dxa" w:w="6660"/>
          </w:tcPr>
          <w:p>
            <w:pPr>
              <w:bidi/>
              <w:jc w:val="right"/>
            </w:pPr>
            <w:r>
              <w:rPr>
                <w:rFonts w:ascii="Arial" w:hAnsi="Arial" w:cs="Arial" w:eastAsia="Arial"/>
                <w:sz w:val="21"/>
                <w:rtl/>
                <w:szCs w:val="21"/>
              </w:rPr>
              <w:t>2. אלפי חוגגים מתכנסים בטיילת גבוהה המשקיפה על העיר העתיקה.</w:t>
            </w:r>
          </w:p>
        </w:tc>
        <w:tc>
          <w:tcPr>
            <w:tcW w:type="dxa" w:w="1716"/>
          </w:tcPr>
          <w:p>
            <w:pPr>
              <w:bidi/>
              <w:jc w:val="right"/>
            </w:pPr>
            <w:r>
              <w:rPr>
                <w:rFonts w:ascii="Arial" w:hAnsi="Arial" w:cs="Arial" w:eastAsia="Arial"/>
                <w:sz w:val="21"/>
                <w:rtl/>
                <w:szCs w:val="21"/>
              </w:rPr>
            </w:r>
          </w:p>
        </w:tc>
        <w:tc>
          <w:tcPr>
            <w:tcW w:type="dxa" w:w="1716"/>
          </w:tcPr>
          <w:p>
            <w:pPr>
              <w:bidi/>
              <w:jc w:val="right"/>
            </w:pPr>
            <w:r>
              <w:rPr>
                <w:rFonts w:ascii="Arial" w:hAnsi="Arial" w:cs="Arial" w:eastAsia="Arial"/>
                <w:sz w:val="21"/>
                <w:rtl/>
                <w:szCs w:val="21"/>
              </w:rPr>
            </w:r>
          </w:p>
        </w:tc>
      </w:tr>
      <w:tr>
        <w:tc>
          <w:tcPr>
            <w:tcW w:type="dxa" w:w="6660"/>
          </w:tcPr>
          <w:p>
            <w:pPr>
              <w:bidi/>
              <w:jc w:val="right"/>
            </w:pPr>
            <w:r>
              <w:rPr>
                <w:rFonts w:ascii="Arial" w:hAnsi="Arial" w:cs="Arial" w:eastAsia="Arial"/>
                <w:sz w:val="21"/>
                <w:rtl/>
                <w:szCs w:val="21"/>
              </w:rPr>
              <w:t>3. הקהילה פנתה לכיוון ירושלים ובכתה על המרחק ממנה.</w:t>
            </w:r>
          </w:p>
        </w:tc>
        <w:tc>
          <w:tcPr>
            <w:tcW w:type="dxa" w:w="1716"/>
          </w:tcPr>
          <w:p>
            <w:pPr>
              <w:bidi/>
              <w:jc w:val="right"/>
            </w:pPr>
            <w:r>
              <w:rPr>
                <w:rFonts w:ascii="Arial" w:hAnsi="Arial" w:cs="Arial" w:eastAsia="Arial"/>
                <w:sz w:val="21"/>
                <w:rtl/>
                <w:szCs w:val="21"/>
              </w:rPr>
            </w:r>
          </w:p>
        </w:tc>
        <w:tc>
          <w:tcPr>
            <w:tcW w:type="dxa" w:w="1716"/>
          </w:tcPr>
          <w:p>
            <w:pPr>
              <w:bidi/>
              <w:jc w:val="right"/>
            </w:pPr>
            <w:r>
              <w:rPr>
                <w:rFonts w:ascii="Arial" w:hAnsi="Arial" w:cs="Arial" w:eastAsia="Arial"/>
                <w:sz w:val="21"/>
                <w:rtl/>
                <w:szCs w:val="21"/>
              </w:rPr>
            </w:r>
          </w:p>
        </w:tc>
      </w:tr>
      <w:tr>
        <w:tc>
          <w:tcPr>
            <w:tcW w:type="dxa" w:w="6660"/>
          </w:tcPr>
          <w:p>
            <w:pPr>
              <w:bidi/>
              <w:jc w:val="right"/>
            </w:pPr>
            <w:r>
              <w:rPr>
                <w:rFonts w:ascii="Arial" w:hAnsi="Arial" w:cs="Arial" w:eastAsia="Arial"/>
                <w:sz w:val="21"/>
                <w:rtl/>
                <w:szCs w:val="21"/>
              </w:rPr>
              <w:t>4. הגעגוע הישן לירושלים הפך לשמחה של חזרה הביתה ולהודיה.</w:t>
            </w:r>
          </w:p>
        </w:tc>
        <w:tc>
          <w:tcPr>
            <w:tcW w:type="dxa" w:w="1716"/>
          </w:tcPr>
          <w:p>
            <w:pPr>
              <w:bidi/>
              <w:jc w:val="right"/>
            </w:pPr>
            <w:r>
              <w:rPr>
                <w:rFonts w:ascii="Arial" w:hAnsi="Arial" w:cs="Arial" w:eastAsia="Arial"/>
                <w:sz w:val="21"/>
                <w:rtl/>
                <w:szCs w:val="21"/>
              </w:rPr>
            </w:r>
          </w:p>
        </w:tc>
        <w:tc>
          <w:tcPr>
            <w:tcW w:type="dxa" w:w="1716"/>
          </w:tcPr>
          <w:p>
            <w:pPr>
              <w:bidi/>
              <w:jc w:val="right"/>
            </w:pPr>
            <w:r>
              <w:rPr>
                <w:rFonts w:ascii="Arial" w:hAnsi="Arial" w:cs="Arial" w:eastAsia="Arial"/>
                <w:sz w:val="21"/>
                <w:rtl/>
                <w:szCs w:val="21"/>
              </w:rPr>
            </w:r>
          </w:p>
        </w:tc>
      </w:tr>
      <w:tr>
        <w:tc>
          <w:tcPr>
            <w:tcW w:type="dxa" w:w="6660"/>
          </w:tcPr>
          <w:p>
            <w:pPr>
              <w:bidi/>
              <w:jc w:val="right"/>
            </w:pPr>
            <w:r>
              <w:rPr>
                <w:rFonts w:ascii="Arial" w:hAnsi="Arial" w:cs="Arial" w:eastAsia="Arial"/>
                <w:sz w:val="21"/>
                <w:rtl/>
                <w:szCs w:val="21"/>
              </w:rPr>
              <w:t>5. מאז העלייה לישראל עבר מרכז החג לירושלים.</w:t>
            </w:r>
          </w:p>
        </w:tc>
        <w:tc>
          <w:tcPr>
            <w:tcW w:type="dxa" w:w="1716"/>
          </w:tcPr>
          <w:p>
            <w:pPr>
              <w:bidi/>
              <w:jc w:val="right"/>
            </w:pPr>
            <w:r>
              <w:rPr>
                <w:rFonts w:ascii="Arial" w:hAnsi="Arial" w:cs="Arial" w:eastAsia="Arial"/>
                <w:sz w:val="21"/>
                <w:rtl/>
                <w:szCs w:val="21"/>
              </w:rPr>
            </w:r>
          </w:p>
        </w:tc>
        <w:tc>
          <w:tcPr>
            <w:tcW w:type="dxa" w:w="1716"/>
          </w:tcPr>
          <w:p>
            <w:pPr>
              <w:bidi/>
              <w:jc w:val="right"/>
            </w:pPr>
            <w:r>
              <w:rPr>
                <w:rFonts w:ascii="Arial" w:hAnsi="Arial" w:cs="Arial" w:eastAsia="Arial"/>
                <w:sz w:val="21"/>
                <w:rtl/>
                <w:szCs w:val="21"/>
              </w:rPr>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ב׳ – כותבים סקירה ממזגת</w:t>
      </w:r>
    </w:p>
    <w:p>
      <w:pPr>
        <w:bidi/>
        <w:spacing w:after="40"/>
        <w:jc w:val="right"/>
      </w:pPr>
      <w:r>
        <w:rPr>
          <w:rFonts w:ascii="Arial" w:hAnsi="Arial" w:cs="Arial" w:eastAsia="Arial"/>
          <w:b/>
          <w:sz w:val="23"/>
          <w:rtl/>
          <w:szCs w:val="23"/>
          <w:bCs/>
        </w:rPr>
        <w:t>✏️ השלימו את הסקירה בעזרת הפתיחים. השוו בין הטקסטים לפי שני הקריטריונים.</w:t>
      </w:r>
    </w:p>
    <w:p>
      <w:pPr>
        <w:bidi/>
        <w:spacing w:after="40"/>
        <w:jc w:val="right"/>
      </w:pPr>
      <w:r>
        <w:rPr>
          <w:rFonts w:ascii="Arial" w:hAnsi="Arial" w:cs="Arial" w:eastAsia="Arial"/>
          <w:sz w:val="23"/>
          <w:rtl/>
          <w:szCs w:val="23"/>
        </w:rPr>
        <w:t>1. שני הטקסטים עוסקים בחג הסיגד, אך מתארים אותו…</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40"/>
        <w:jc w:val="right"/>
      </w:pPr>
      <w:r>
        <w:rPr>
          <w:rFonts w:ascii="Arial" w:hAnsi="Arial" w:cs="Arial" w:eastAsia="Arial"/>
          <w:sz w:val="23"/>
          <w:rtl/>
          <w:szCs w:val="23"/>
        </w:rPr>
        <w:t>2. מבחינת המקום, בטקסט הראשון…, ואילו בטקסט השני…</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40"/>
        <w:jc w:val="right"/>
      </w:pPr>
      <w:r>
        <w:rPr>
          <w:rFonts w:ascii="Arial" w:hAnsi="Arial" w:cs="Arial" w:eastAsia="Arial"/>
          <w:sz w:val="23"/>
          <w:rtl/>
          <w:szCs w:val="23"/>
        </w:rPr>
        <w:t>3. גם היחס לירושלים משתנה: …</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40"/>
        <w:jc w:val="right"/>
      </w:pPr>
      <w:r>
        <w:rPr>
          <w:rFonts w:ascii="Arial" w:hAnsi="Arial" w:cs="Arial" w:eastAsia="Arial"/>
          <w:sz w:val="23"/>
          <w:rtl/>
          <w:szCs w:val="23"/>
        </w:rPr>
        <w:t>4. המשותף לשני הטקסטים הוא…</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40"/>
        <w:jc w:val="right"/>
      </w:pPr>
      <w:r>
        <w:rPr>
          <w:rFonts w:ascii="Arial" w:hAnsi="Arial" w:cs="Arial" w:eastAsia="Arial"/>
          <w:sz w:val="23"/>
          <w:rtl/>
          <w:szCs w:val="23"/>
        </w:rPr>
        <w:t>5. לסיכום, אפשר לומר ש…</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6D28D9"/>
          <w:sz w:val="27"/>
          <w:rtl/>
          <w:szCs w:val="27"/>
          <w:bCs/>
        </w:rPr>
        <w:t>חלק ג׳ – מה למדתי מהמיזוג?</w:t>
      </w:r>
    </w:p>
    <w:p>
      <w:pPr>
        <w:bidi/>
        <w:spacing w:after="40"/>
        <w:jc w:val="right"/>
      </w:pPr>
      <w:r>
        <w:rPr>
          <w:rFonts w:ascii="Arial" w:hAnsi="Arial" w:cs="Arial" w:eastAsia="Arial"/>
          <w:b/>
          <w:sz w:val="23"/>
          <w:rtl/>
          <w:szCs w:val="23"/>
          <w:bCs/>
        </w:rPr>
        <w:t>✏️ מה מקבלים כשקוראים שני טקסטים יחד ולא רק אחד?</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B45309"/>
          <w:sz w:val="27"/>
          <w:rtl/>
          <w:szCs w:val="27"/>
          <w:bCs/>
        </w:rPr>
        <w:t>כרטיס יציאה</w:t>
      </w:r>
    </w:p>
    <w:tbl>
      <w:tblPr>
        <w:tblStyle w:val="TableGrid"/>
        <w:tblW w:type="auto" w:w="0"/>
        <w:tblLook w:firstColumn="1" w:firstRow="1" w:lastColumn="0" w:lastRow="0" w:noHBand="0" w:noVBand="1" w:val="04A0"/>
        <w:bidiVisual/>
      </w:tblPr>
      <w:tblGrid>
        <w:gridCol w:w="10426"/>
      </w:tblGrid>
      <w:tr>
        <w:tc>
          <w:tcPr>
            <w:tcW w:type="dxa" w:w="10426"/>
            <w:shd w:val="clear" w:color="auto" w:fill="FFFBEB"/>
          </w:tcPr>
          <w:p>
            <w:pPr>
              <w:bidi/>
              <w:jc w:val="right"/>
            </w:pPr>
            <w:r>
              <w:rPr>
                <w:rFonts w:ascii="Arial" w:hAnsi="Arial" w:cs="Arial" w:eastAsia="Arial"/>
                <w:b/>
                <w:sz w:val="23"/>
                <w:rtl/>
                <w:szCs w:val="23"/>
                <w:bCs/>
              </w:rPr>
              <w:t>🎟️ כרטיס יציאה – בונה הסקירה הממזגת</w:t>
            </w:r>
          </w:p>
          <w:p>
            <w:pPr>
              <w:bidi/>
              <w:jc w:val="right"/>
            </w:pPr>
            <w:r>
              <w:rPr>
                <w:rFonts w:ascii="Arial" w:hAnsi="Arial" w:cs="Arial" w:eastAsia="Arial"/>
                <w:sz w:val="23"/>
                <w:rtl/>
                <w:szCs w:val="23"/>
              </w:rPr>
              <w:t>✍️ דבר אחד חשוב שלמדתי היום:</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שאלה אחת שעדיין נשארה לי: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עד כמה הבנתי? הקיפו:   😀   🙂   😐   😟</w:t>
            </w:r>
          </w:p>
        </w:tc>
      </w:tr>
    </w:tbl>
    <w:p>
      <w:pPr>
        <w:bidi/>
        <w:spacing w:after="40"/>
        <w:jc w:val="right"/>
      </w:pPr>
    </w:p>
    <w:p>
      <w:pPr>
        <w:bidi/>
        <w:spacing w:after="40"/>
        <w:jc w:val="right"/>
      </w:pPr>
      <w:r>
        <w:rPr>
          <w:rFonts w:ascii="Arial" w:hAnsi="Arial" w:cs="Arial" w:eastAsia="Arial"/>
          <w:color w:val="64748B"/>
          <w:sz w:val="18"/>
          <w:rtl/>
          <w:szCs w:val="18"/>
        </w:rPr>
        <w:t>יצרה: רוית ראש בן ישי · משחקי טקסט ומשימות – דף תרגול</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בונה הסקירה הממזגת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